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256D" w14:textId="66E03AFF" w:rsidR="00AE0A1A" w:rsidRDefault="005C6D8E" w:rsidP="001C1A6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AU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4426BF" wp14:editId="701C0D64">
            <wp:simplePos x="0" y="0"/>
            <wp:positionH relativeFrom="column">
              <wp:posOffset>4000500</wp:posOffset>
            </wp:positionH>
            <wp:positionV relativeFrom="paragraph">
              <wp:posOffset>201295</wp:posOffset>
            </wp:positionV>
            <wp:extent cx="196850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7D21A" w14:textId="77777777" w:rsidR="00AE0A1A" w:rsidRDefault="00AE0A1A" w:rsidP="001C1A6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AU"/>
        </w:rPr>
      </w:pPr>
    </w:p>
    <w:p w14:paraId="72CE53CD" w14:textId="77777777" w:rsidR="005C6D8E" w:rsidRPr="005C6D8E" w:rsidRDefault="005C6D8E" w:rsidP="001C1A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</w:p>
    <w:p w14:paraId="49E98AC1" w14:textId="27EAB92A" w:rsidR="001C1A63" w:rsidRPr="001C1A63" w:rsidRDefault="005C6D8E" w:rsidP="001C1A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 xml:space="preserve"> </w:t>
      </w:r>
      <w:r w:rsidR="001C1A63" w:rsidRPr="001C1A63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“Flipping the Switch” to Change Mindsets</w:t>
      </w:r>
    </w:p>
    <w:p w14:paraId="7A2CE8C5" w14:textId="77777777" w:rsidR="005C6D8E" w:rsidRDefault="005C6D8E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</w:pPr>
    </w:p>
    <w:p w14:paraId="1F7CE602" w14:textId="066F62C6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1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Define the single most destructive limiting belief (excuse, resentment, fear or self-criticism) you have.</w:t>
      </w:r>
    </w:p>
    <w:p w14:paraId="159090AE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2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On a sheet of paper, write down the limiting belief.  For example, “I am bad at math.”</w:t>
      </w:r>
    </w:p>
    <w:p w14:paraId="660B0E4B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3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Write down the new positive mindset you would like to have.  For example, “I am good at math and getting better every day.”</w:t>
      </w:r>
    </w:p>
    <w:p w14:paraId="51303E18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4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Identify the circumstances that typically bring the negative thinking to the forefront.  For example, “Before math tests, when participating in math class or when studying with friends.”</w:t>
      </w:r>
    </w:p>
    <w:p w14:paraId="42CAF94F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5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When the negative thought or emotion arises:</w:t>
      </w:r>
    </w:p>
    <w:p w14:paraId="7FCB1653" w14:textId="77777777" w:rsidR="001C1A63" w:rsidRPr="001C1A63" w:rsidRDefault="001C1A63" w:rsidP="001C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Imagine your left temple is the ‘OFF’ button for the old version of you. Gently press the button to turn off the </w:t>
      </w:r>
      <w:hyperlink r:id="rId6" w:history="1"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>negative</w:t>
        </w:r>
      </w:hyperlink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thought.</w:t>
      </w:r>
    </w:p>
    <w:p w14:paraId="2D246B0F" w14:textId="77777777" w:rsidR="001C1A63" w:rsidRPr="001C1A63" w:rsidRDefault="001C1A63" w:rsidP="001C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Imagine your right temple is the ‘ON’ button for the new and improved version you. Gently press that button and start saying the new </w:t>
      </w:r>
      <w:hyperlink r:id="rId7" w:tgtFrame="_blank" w:history="1"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>positive mindset</w:t>
        </w:r>
      </w:hyperlink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in your mind (I am good at math and getting better every day).</w:t>
      </w:r>
    </w:p>
    <w:p w14:paraId="692BF07E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6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 – Each day, go back to your sheet of paper and journal your activity for the day.  If in an open classroom setting or with a child, it is a good idea to have a 20 to </w:t>
      </w:r>
      <w:proofErr w:type="gramStart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30 minute</w:t>
      </w:r>
      <w:proofErr w:type="gramEnd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 discussion each week.</w:t>
      </w:r>
    </w:p>
    <w:p w14:paraId="55B60E01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b/>
          <w:bCs/>
          <w:color w:val="808080"/>
          <w:sz w:val="21"/>
          <w:szCs w:val="21"/>
          <w:lang w:eastAsia="en-AU"/>
        </w:rPr>
        <w:t>Step 7</w:t>
      </w: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– Execute this process for 8 weeks (or until the new thinking doesn’t feel like such a conscious effort).  Your mindset training is complete!</w:t>
      </w:r>
    </w:p>
    <w:p w14:paraId="44441C59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The theory behind the success of this approach has driven many successful personal change efforts.  It can be seen in psychology through the process of </w:t>
      </w:r>
      <w:hyperlink r:id="rId8" w:tgtFrame="_blank" w:history="1"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 xml:space="preserve">Cognitive </w:t>
        </w:r>
        <w:proofErr w:type="spellStart"/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>Behavioral</w:t>
        </w:r>
        <w:proofErr w:type="spellEnd"/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 xml:space="preserve"> Therapy</w:t>
        </w:r>
      </w:hyperlink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, as well as commercial programs such as </w:t>
      </w:r>
      <w:hyperlink r:id="rId9" w:tgtFrame="_blank" w:history="1"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>Neuro-linguistic Programming</w:t>
        </w:r>
      </w:hyperlink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 (NLP) and the </w:t>
      </w:r>
      <w:hyperlink r:id="rId10" w:tgtFrame="_blank" w:history="1">
        <w:r w:rsidRPr="001C1A6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n-AU"/>
          </w:rPr>
          <w:t>Sedona Method</w:t>
        </w:r>
      </w:hyperlink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.</w:t>
      </w:r>
    </w:p>
    <w:p w14:paraId="04004FF6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In simple terms, the essential moment in personal change is the moment when the impulse toward negative thinking </w:t>
      </w:r>
      <w:proofErr w:type="gramStart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actually arrives</w:t>
      </w:r>
      <w:proofErr w:type="gramEnd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 in our minds.</w:t>
      </w:r>
    </w:p>
    <w:p w14:paraId="1B084ABD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If we can recognize this impulse at that moment and immediately replace it with a new, positive one, we will fundamentally change the course of events.</w:t>
      </w:r>
    </w:p>
    <w:p w14:paraId="2827FB3F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You see, we can set goals all day long and say our daily affirmations, but until the rubber hits the road and we </w:t>
      </w:r>
      <w:proofErr w:type="gramStart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actually think</w:t>
      </w:r>
      <w:proofErr w:type="gramEnd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 and act differently in a sustained way, real change hasn’t taken place.</w:t>
      </w:r>
    </w:p>
    <w:p w14:paraId="053DB979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3CA9F0A3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286D9E00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62244B0A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6021235A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6AF8CAF0" w14:textId="77777777" w:rsidR="00493DDD" w:rsidRDefault="00493DDD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</w:p>
    <w:p w14:paraId="20DE5769" w14:textId="725611E1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The coolest and most important part of this process is that, if we </w:t>
      </w:r>
      <w:proofErr w:type="gramStart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are able to</w:t>
      </w:r>
      <w:proofErr w:type="gramEnd"/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 xml:space="preserve"> change our thoughts and actions in these critical moments, we systematically weaken the impulses.  Sometimes, the limiting belief is dissolved the first time this takes place; others can require more time and effort.</w:t>
      </w:r>
    </w:p>
    <w:p w14:paraId="0CCC217A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However, if we do this consistently, we can make this thought-replacement permanent.</w:t>
      </w:r>
    </w:p>
    <w:p w14:paraId="0E2CFFFE" w14:textId="6CDE90FC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By replacing these negative impulses with impulses containing the language of hope, high expectations and happiness, we’ll create a mindset change that improves the course of our lives forever.</w:t>
      </w:r>
    </w:p>
    <w:p w14:paraId="6F656F5D" w14:textId="77777777" w:rsidR="001C1A63" w:rsidRPr="001C1A63" w:rsidRDefault="001C1A63" w:rsidP="001C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n-AU"/>
        </w:rPr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As Einstein said, we cannot solve the issues we face at the same level of thinking that created them.</w:t>
      </w:r>
    </w:p>
    <w:p w14:paraId="1C2F8B21" w14:textId="72FFA23C" w:rsidR="00BD628C" w:rsidRDefault="001C1A63" w:rsidP="00AE0A1A">
      <w:pPr>
        <w:shd w:val="clear" w:color="auto" w:fill="FFFFFF"/>
        <w:spacing w:after="150" w:line="240" w:lineRule="auto"/>
      </w:pPr>
      <w:r w:rsidRPr="001C1A63">
        <w:rPr>
          <w:rFonts w:ascii="Arial" w:eastAsia="Times New Roman" w:hAnsi="Arial" w:cs="Arial"/>
          <w:color w:val="808080"/>
          <w:sz w:val="21"/>
          <w:szCs w:val="21"/>
          <w:lang w:eastAsia="en-AU"/>
        </w:rPr>
        <w:t>To change the results we’re getting, we must start to systematically change the way we think, and make our lives the result of our very best thinking!</w:t>
      </w:r>
    </w:p>
    <w:sectPr w:rsidR="00BD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06D38"/>
    <w:multiLevelType w:val="multilevel"/>
    <w:tmpl w:val="B8A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3"/>
    <w:rsid w:val="001C1A63"/>
    <w:rsid w:val="003D0155"/>
    <w:rsid w:val="00493DDD"/>
    <w:rsid w:val="005C6D8E"/>
    <w:rsid w:val="00AE0A1A"/>
    <w:rsid w:val="00BD628C"/>
    <w:rsid w:val="00C23D34"/>
    <w:rsid w:val="00E63901"/>
    <w:rsid w:val="00EB6581"/>
    <w:rsid w:val="00FA2BA6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7333"/>
  <w15:chartTrackingRefBased/>
  <w15:docId w15:val="{CA04C6CA-A33B-42C5-8CD4-275E6BF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C1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A6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C1A6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C1A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A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.com/what-is-cognitive-behavior-therapy-2795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mindsets.com/success-minds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mindsets.com/how-to-stop-negative-think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dona.com/H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linguisticprogramm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Gordon</dc:creator>
  <cp:keywords/>
  <dc:description/>
  <cp:lastModifiedBy>Rita Gordon</cp:lastModifiedBy>
  <cp:revision>2</cp:revision>
  <cp:lastPrinted>2017-12-13T14:07:00Z</cp:lastPrinted>
  <dcterms:created xsi:type="dcterms:W3CDTF">2019-02-25T10:38:00Z</dcterms:created>
  <dcterms:modified xsi:type="dcterms:W3CDTF">2019-02-25T10:38:00Z</dcterms:modified>
</cp:coreProperties>
</file>